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D36C7D">
        <w:rPr>
          <w:rFonts w:asciiTheme="minorHAnsi" w:hAnsiTheme="minorHAnsi" w:cs="Arial"/>
          <w:b/>
          <w:sz w:val="22"/>
          <w:szCs w:val="22"/>
        </w:rPr>
        <w:t>45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36C7D">
        <w:rPr>
          <w:rFonts w:asciiTheme="minorHAnsi" w:hAnsiTheme="minorHAnsi" w:cs="Arial"/>
          <w:sz w:val="22"/>
          <w:szCs w:val="22"/>
        </w:rPr>
        <w:t>30</w:t>
      </w:r>
      <w:r w:rsidR="00007851">
        <w:rPr>
          <w:rFonts w:asciiTheme="minorHAnsi" w:hAnsiTheme="minorHAnsi" w:cs="Arial"/>
          <w:sz w:val="22"/>
          <w:szCs w:val="22"/>
        </w:rPr>
        <w:t>/01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D36C7D">
        <w:rPr>
          <w:rFonts w:asciiTheme="minorHAnsi" w:hAnsiTheme="minorHAnsi" w:cs="Arial"/>
          <w:sz w:val="22"/>
          <w:szCs w:val="22"/>
        </w:rPr>
        <w:t>a</w:t>
      </w:r>
      <w:r w:rsidR="009A5A9C">
        <w:rPr>
          <w:rFonts w:asciiTheme="minorHAnsi" w:hAnsiTheme="minorHAnsi" w:cs="Arial"/>
          <w:sz w:val="22"/>
          <w:szCs w:val="22"/>
        </w:rPr>
        <w:t>.</w:t>
      </w:r>
      <w:r w:rsidR="00310071">
        <w:rPr>
          <w:rFonts w:asciiTheme="minorHAnsi" w:hAnsiTheme="minorHAnsi" w:cs="Arial"/>
          <w:sz w:val="22"/>
          <w:szCs w:val="22"/>
        </w:rPr>
        <w:t xml:space="preserve"> </w:t>
      </w:r>
      <w:r w:rsidR="00D36C7D">
        <w:rPr>
          <w:rFonts w:asciiTheme="minorHAnsi" w:hAnsiTheme="minorHAnsi" w:cs="Arial"/>
          <w:sz w:val="22"/>
          <w:szCs w:val="22"/>
        </w:rPr>
        <w:t>Andrea Sandoval Aliste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36C7D">
        <w:rPr>
          <w:rFonts w:asciiTheme="minorHAnsi" w:hAnsiTheme="minorHAnsi" w:cs="Arial"/>
          <w:b/>
          <w:sz w:val="22"/>
          <w:szCs w:val="22"/>
        </w:rPr>
        <w:t>04 de febrero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letra C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D36C7D">
        <w:rPr>
          <w:rFonts w:asciiTheme="minorHAnsi" w:hAnsiTheme="minorHAnsi" w:cs="Arial"/>
          <w:sz w:val="22"/>
          <w:szCs w:val="22"/>
        </w:rPr>
        <w:t>30</w:t>
      </w:r>
      <w:r w:rsidR="00007851">
        <w:rPr>
          <w:rFonts w:asciiTheme="minorHAnsi" w:hAnsiTheme="minorHAnsi" w:cs="Arial"/>
          <w:sz w:val="22"/>
          <w:szCs w:val="22"/>
        </w:rPr>
        <w:t>/01/2019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D36C7D">
        <w:rPr>
          <w:rFonts w:asciiTheme="minorHAnsi" w:hAnsiTheme="minorHAnsi" w:cs="Arial"/>
          <w:b/>
          <w:sz w:val="22"/>
          <w:szCs w:val="22"/>
        </w:rPr>
        <w:t>45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D36C7D" w:rsidRDefault="00D36C7D" w:rsidP="00D36C7D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Base de datos de patentes comerciales, industriales, profesionales, y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alcoholes otorgadas por la Municipalidad, actualizada al segundo semestre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2018. Esta base debe contener el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listado de todas las patentes que ha otorgado la municipalidad hasta el segundo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semestre de 2018, específicamente las siguientes variables: rol, dvRol, Rut, Dv,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patente, tipo de patente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(alcoh, indus, comer, ofpos, profe), estado (definitiva/provisoria/activa/inactiva),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fecha vencimiento, fecha inicio de actividades, giro, actividad, razón social, calle,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numero, block/oficina/dpto, Aclaración (Block, oficina, local..).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007851" w:rsidRPr="00D36C7D" w:rsidRDefault="00D36C7D" w:rsidP="00D36C7D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Observaciones De esta base, se quieren las siguientes variables al menos: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rol, dvRol, Rut, Dv, patente, tipo de patente (alcoh, indus, comer, ofpos, profe),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estado (definitiva/provisoria/activa/inactiva), fecha vencimiento, fecha inicio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actividades, giro,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actividad, razón social, calle, numero, block/oficina/dpto, Aclaración (Block,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D36C7D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oficina, local..).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D36C7D" w:rsidRPr="00007851" w:rsidRDefault="00D36C7D" w:rsidP="00D36C7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>
        <w:rPr>
          <w:rFonts w:asciiTheme="minorHAnsi" w:hAnsiTheme="minorHAnsi" w:cs="Arial"/>
          <w:b/>
          <w:sz w:val="22"/>
          <w:szCs w:val="22"/>
        </w:rPr>
        <w:t>DÉSE RESPUESTA  e infórmese según se indica</w:t>
      </w:r>
      <w:r w:rsidR="00BA66B1" w:rsidRPr="00BC524E">
        <w:rPr>
          <w:rFonts w:asciiTheme="minorHAnsi" w:hAnsiTheme="minorHAnsi" w:cs="Arial"/>
          <w:sz w:val="22"/>
          <w:szCs w:val="22"/>
        </w:rPr>
        <w:t>: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315DB" w:rsidRPr="00C73EDE" w:rsidRDefault="008E79E8" w:rsidP="003315DB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</w:t>
      </w:r>
      <w:r w:rsidR="00C73EDE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esta</w:t>
      </w:r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encuentran permanentemente a disposición del público y para acceder a ellas debe ingresar a </w:t>
      </w:r>
      <w:hyperlink r:id="rId7" w:history="1">
        <w:r w:rsidR="003315DB" w:rsidRPr="00C73EDE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www.municasablanca.cl</w:t>
        </w:r>
      </w:hyperlink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banner “Transparencia Activa”, “07. 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Actos y Resoluciones con efecto sobre terceros”, “Patentes Comerciales”, “Patentes Comerciales año 2018”, “Rol Patentes Comerciales 2018 (formato PDF)”, o “Rol Patentes Comerciales 2018 (formato Excel)”. En estos roles encontrara la información desde el año 2001 en adelante.</w:t>
      </w:r>
    </w:p>
    <w:p w:rsidR="00F52733" w:rsidRDefault="00F52733" w:rsidP="003315D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30B13" w:rsidRDefault="00F52733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</w:t>
      </w:r>
      <w:r w:rsid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las observaciones de la solicitud, en específico a lo que refiere al estado, fecha vencimiento, fecha inicio de actividades y a la aclaración (block, oficina, local…), </w:t>
      </w:r>
      <w:r w:rsidR="00030B13"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debido a que esta información no se encuentra disponible de manera tabulada o en formato de fácil acceso, </w:t>
      </w:r>
      <w:r w:rsid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y </w:t>
      </w:r>
      <w:r w:rsidR="00030B13"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entendiendo que son un elevado número de actos administrativos</w:t>
      </w:r>
      <w:r w:rsid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por lo que </w:t>
      </w:r>
      <w:r w:rsidR="00030B13"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generarla ocasiona la distracción indebida del funcionario a cargo de la Unidad d</w:t>
      </w:r>
      <w:r w:rsid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 Rentas y Patentes municipales, se apl</w:t>
      </w:r>
      <w:r w:rsidR="00C73EDE"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ica Art. 21 Nº 1</w:t>
      </w:r>
      <w:r w:rsid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letra C de la Ley 20.285</w:t>
      </w:r>
      <w:r w:rsidR="00D36C7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D36C7D">
        <w:rPr>
          <w:rFonts w:asciiTheme="minorHAnsi" w:hAnsiTheme="minorHAnsi" w:cs="Arial"/>
          <w:sz w:val="22"/>
          <w:szCs w:val="22"/>
        </w:rPr>
        <w:t>doña Andrea Sandoval Aliste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D36C7D">
        <w:rPr>
          <w:rFonts w:asciiTheme="minorHAnsi" w:hAnsiTheme="minorHAnsi" w:cs="Arial"/>
          <w:sz w:val="22"/>
          <w:szCs w:val="22"/>
        </w:rPr>
        <w:t>doña Andrea Sandoval Aliste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F5273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>sa (S)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36C7D">
        <w:rPr>
          <w:rFonts w:asciiTheme="minorHAnsi" w:hAnsiTheme="minorHAnsi" w:cs="Arial"/>
          <w:sz w:val="22"/>
          <w:szCs w:val="22"/>
          <w:lang w:val="es-CL"/>
        </w:rPr>
        <w:t xml:space="preserve">Sra. </w:t>
      </w:r>
      <w:r w:rsidR="00D36C7D">
        <w:rPr>
          <w:rFonts w:asciiTheme="minorHAnsi" w:hAnsiTheme="minorHAnsi" w:cs="Arial"/>
          <w:sz w:val="22"/>
          <w:szCs w:val="22"/>
        </w:rPr>
        <w:t>Andrea Sandoval Aliste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F52733" w:rsidP="00FF54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MSV</w:t>
      </w:r>
      <w:r w:rsidR="00FF54B7">
        <w:rPr>
          <w:rFonts w:asciiTheme="minorHAnsi" w:hAnsiTheme="minorHAnsi"/>
          <w:sz w:val="22"/>
          <w:szCs w:val="22"/>
        </w:rPr>
        <w:t>/LPA/lpa</w:t>
      </w:r>
    </w:p>
    <w:sectPr w:rsidR="00153A24" w:rsidRPr="00BC524E" w:rsidSect="001C7FE0">
      <w:headerReference w:type="default" r:id="rId8"/>
      <w:footerReference w:type="default" r:id="rId9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0A" w:rsidRDefault="00590A0A" w:rsidP="00566808">
      <w:r>
        <w:separator/>
      </w:r>
    </w:p>
  </w:endnote>
  <w:endnote w:type="continuationSeparator" w:id="1">
    <w:p w:rsidR="00590A0A" w:rsidRDefault="00590A0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FE3617" w:rsidP="00566808">
    <w:pPr>
      <w:pStyle w:val="Piedepgina"/>
      <w:ind w:left="-142"/>
      <w:jc w:val="right"/>
      <w:rPr>
        <w:sz w:val="18"/>
        <w:szCs w:val="18"/>
      </w:rPr>
    </w:pPr>
    <w:r w:rsidRPr="00FE3617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0A" w:rsidRDefault="00590A0A" w:rsidP="00566808">
      <w:r>
        <w:separator/>
      </w:r>
    </w:p>
  </w:footnote>
  <w:footnote w:type="continuationSeparator" w:id="1">
    <w:p w:rsidR="00590A0A" w:rsidRDefault="00590A0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20354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90A0A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6B1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77D8"/>
    <w:rsid w:val="00F52733"/>
    <w:rsid w:val="00F76437"/>
    <w:rsid w:val="00F816F9"/>
    <w:rsid w:val="00FB64D9"/>
    <w:rsid w:val="00FC5389"/>
    <w:rsid w:val="00FE1F12"/>
    <w:rsid w:val="00FE3617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2019-02-04T13:17:00Z</cp:lastPrinted>
  <dcterms:created xsi:type="dcterms:W3CDTF">2019-02-04T13:07:00Z</dcterms:created>
  <dcterms:modified xsi:type="dcterms:W3CDTF">2019-02-04T13:18:00Z</dcterms:modified>
</cp:coreProperties>
</file>